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9"/>
        <w:jc w:val="center"/>
        <w:rPr>
          <w:b/>
          <w:sz w:val="28"/>
          <w:szCs w:val="28"/>
        </w:rPr>
      </w:pPr>
    </w:p>
    <w:p>
      <w:pPr>
        <w:pStyle w:val="9"/>
        <w:rPr>
          <w:b/>
          <w:szCs w:val="28"/>
        </w:rPr>
      </w:pPr>
      <w:r>
        <w:rPr>
          <w:b/>
          <w:szCs w:val="28"/>
        </w:rPr>
        <w:t>ПЕРЕЧЕНЬ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общеврачебных практических умений обучающихся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курса по специальности 31.05.0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Лечебное</w:t>
      </w:r>
      <w:r>
        <w:rPr>
          <w:rFonts w:hint="default"/>
          <w:sz w:val="28"/>
          <w:szCs w:val="28"/>
          <w:lang w:val="ru-RU"/>
        </w:rPr>
        <w:t xml:space="preserve"> дело</w:t>
      </w:r>
      <w:r>
        <w:rPr>
          <w:sz w:val="28"/>
          <w:szCs w:val="28"/>
        </w:rPr>
        <w:t xml:space="preserve"> дисциплины «Факультетская терапия» в соответствии с требованиями ФГОС ВО по специальности 31.05.0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Лечебное</w:t>
      </w:r>
      <w:r>
        <w:rPr>
          <w:rFonts w:hint="default"/>
          <w:sz w:val="28"/>
          <w:szCs w:val="28"/>
          <w:lang w:val="ru-RU"/>
        </w:rPr>
        <w:t xml:space="preserve"> дело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>
      <w:pPr>
        <w:jc w:val="both"/>
        <w:rPr>
          <w:sz w:val="28"/>
          <w:szCs w:val="28"/>
        </w:rPr>
      </w:pPr>
    </w:p>
    <w:p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ОБСЛЕДОВАНИЕ БОЛЬНЫХ С ПАТОЛОГИЕЙ ВНУТРЕННИХ ОРГАНОВ:</w:t>
      </w:r>
    </w:p>
    <w:p>
      <w:pPr>
        <w:jc w:val="both"/>
        <w:rPr>
          <w:i/>
          <w:sz w:val="28"/>
          <w:szCs w:val="28"/>
        </w:rPr>
      </w:pPr>
    </w:p>
    <w:p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а) сбор и оценка анамнеза</w:t>
      </w:r>
    </w:p>
    <w:p>
      <w:pPr>
        <w:pStyle w:val="8"/>
        <w:ind w:left="1560" w:hanging="426"/>
        <w:rPr>
          <w:szCs w:val="28"/>
        </w:rPr>
      </w:pPr>
    </w:p>
    <w:p>
      <w:pPr>
        <w:pStyle w:val="8"/>
        <w:ind w:left="1560" w:hanging="426"/>
        <w:rPr>
          <w:szCs w:val="28"/>
        </w:rPr>
      </w:pPr>
      <w:r>
        <w:rPr>
          <w:szCs w:val="28"/>
        </w:rPr>
        <w:t>б) клиническое обследование здорового и больного пациента (осмотр, пальпация, перкуссия, аускультация) с патологией:</w:t>
      </w:r>
    </w:p>
    <w:p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органов дыхания</w:t>
      </w:r>
    </w:p>
    <w:p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сердечно-сосудистой системы</w:t>
      </w:r>
    </w:p>
    <w:p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желудочно-кишечного тракта</w:t>
      </w:r>
    </w:p>
    <w:p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почек</w:t>
      </w:r>
    </w:p>
    <w:p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крови.</w:t>
      </w:r>
    </w:p>
    <w:p>
      <w:pPr>
        <w:pStyle w:val="10"/>
        <w:rPr>
          <w:szCs w:val="28"/>
        </w:rPr>
      </w:pPr>
    </w:p>
    <w:p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ОЦЕНКА ВЫЯВЛЕННЫХ ПРИ ОБСЛЕДОВАНИИ ПАЦИЕНТА ПАТОЛОГИЧЕСКИХ ИЗМЕНЕНИЙ И ФОРМУЛИРОВКА ДИАГНОЗА ПО СОВРЕМЕННЫМ КЛАССИФИКАЦИЯМ</w:t>
      </w:r>
    </w:p>
    <w:p>
      <w:pPr>
        <w:ind w:left="567"/>
        <w:jc w:val="both"/>
        <w:rPr>
          <w:b/>
          <w:sz w:val="28"/>
          <w:szCs w:val="28"/>
        </w:rPr>
      </w:pPr>
    </w:p>
    <w:p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ОБОСНОВАНИЕ ЭТИОЛОГИЧЕСКОЙ, ПАТОГЕНЕТИЧЕСКОЙ И СИМПТОМАТИЧЕСКОЙ ТЕРАПИИ ПРИ РАЗЛИЧНЫХ ЗАБОЛЕВАНИЯХ ВНУТРЕННИХ ОРГАНОВ </w:t>
      </w:r>
    </w:p>
    <w:p>
      <w:pPr>
        <w:jc w:val="both"/>
        <w:rPr>
          <w:b/>
          <w:sz w:val="28"/>
          <w:szCs w:val="28"/>
        </w:rPr>
      </w:pPr>
    </w:p>
    <w:p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ОЦЕНКА ДАННЫХ ЛАБОРАТОРНЫХ И ИНСТРУМЕНТАЛЬНЫХ ИССЛЕДОВАНИЙ:</w:t>
      </w:r>
    </w:p>
    <w:p>
      <w:pPr>
        <w:jc w:val="both"/>
        <w:rPr>
          <w:i/>
          <w:sz w:val="28"/>
          <w:szCs w:val="28"/>
        </w:rPr>
      </w:pPr>
    </w:p>
    <w:p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общего анализа крови;</w:t>
      </w:r>
    </w:p>
    <w:p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анализов мочи общего, по Нечипоренко,  пробы по Зимницкому;</w:t>
      </w:r>
    </w:p>
    <w:p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копроцитограммы;</w:t>
      </w:r>
    </w:p>
    <w:p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анализа мокроты общего, на ВК, атипичные клетки, бактериальную флору и   ее чувствительность к антибиотикам;</w:t>
      </w:r>
    </w:p>
    <w:p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биохимических анализов крови: </w:t>
      </w:r>
    </w:p>
    <w:p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ревматологический комплекс (общий белок, белковые фракции,   серомукоид, С-реактивный белок, фибриноген);</w:t>
      </w:r>
    </w:p>
    <w:p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почечный комплекс (общий белок, белковые фракции, холестерин, мочевина, остаточный азот, креатинин, электролиты – калий, кальций, фосфор, натрий, хлор), проба Реберга-Тареева;</w:t>
      </w:r>
    </w:p>
    <w:p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печеночный комплекс (общий белок, белковые фракции, холестерин, общий билирубин, его фракции,   тимоловая проба, АЛТ, АСТ, ЩФ, γ-ГТП);</w:t>
      </w:r>
    </w:p>
    <w:p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маркеров некроза миокарда (тропонин, миоглобин, КФК-МВ, ЛДГ);</w:t>
      </w:r>
    </w:p>
    <w:p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сахара крови натощак, амилазы крови, диастазы мочи;</w:t>
      </w:r>
    </w:p>
    <w:p>
      <w:pPr>
        <w:pStyle w:val="7"/>
        <w:numPr>
          <w:ilvl w:val="0"/>
          <w:numId w:val="6"/>
        </w:numPr>
        <w:tabs>
          <w:tab w:val="clear" w:pos="360"/>
        </w:tabs>
        <w:ind w:left="426" w:hanging="426"/>
        <w:rPr>
          <w:szCs w:val="28"/>
        </w:rPr>
      </w:pPr>
      <w:r>
        <w:rPr>
          <w:szCs w:val="28"/>
        </w:rPr>
        <w:t xml:space="preserve">серологического маркерного спектра у больных вирусными гепатитами А, В, С, </w:t>
      </w:r>
      <w:r>
        <w:rPr>
          <w:szCs w:val="28"/>
          <w:lang w:val="en-US"/>
        </w:rPr>
        <w:t>D</w:t>
      </w:r>
      <w:r>
        <w:rPr>
          <w:szCs w:val="28"/>
        </w:rPr>
        <w:t>;</w:t>
      </w:r>
    </w:p>
    <w:p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группы крови по системе АВО и резус-фактора;</w:t>
      </w:r>
    </w:p>
    <w:p>
      <w:pPr>
        <w:pStyle w:val="7"/>
        <w:numPr>
          <w:ilvl w:val="0"/>
          <w:numId w:val="8"/>
        </w:numPr>
        <w:rPr>
          <w:szCs w:val="28"/>
        </w:rPr>
      </w:pPr>
      <w:r>
        <w:rPr>
          <w:szCs w:val="28"/>
        </w:rPr>
        <w:t>выполнение пробы на индивидуальную совместимость крови, кровезаменителей, других растворов для переливания;</w:t>
      </w:r>
    </w:p>
    <w:p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коагулограммы: время свертывания, длительность кровотечения, толерантность к гепарину, протромбиновый индекс, протромбиновое время, время рекальцификации, МНО, РФМК; </w:t>
      </w:r>
    </w:p>
    <w:p>
      <w:pPr>
        <w:pStyle w:val="7"/>
        <w:numPr>
          <w:ilvl w:val="0"/>
          <w:numId w:val="6"/>
        </w:numPr>
        <w:rPr>
          <w:szCs w:val="28"/>
        </w:rPr>
      </w:pPr>
      <w:r>
        <w:rPr>
          <w:szCs w:val="28"/>
        </w:rPr>
        <w:t>исследования иммунного статуса пациента;</w:t>
      </w:r>
    </w:p>
    <w:p>
      <w:pPr>
        <w:numPr>
          <w:ilvl w:val="0"/>
          <w:numId w:val="10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ультразвукового сканирования органов брюшной полости и почек;</w:t>
      </w:r>
    </w:p>
    <w:p>
      <w:pPr>
        <w:numPr>
          <w:ilvl w:val="0"/>
          <w:numId w:val="11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дуоденального зондирования, РН-метрии желудка;</w:t>
      </w:r>
    </w:p>
    <w:p>
      <w:pPr>
        <w:numPr>
          <w:ilvl w:val="0"/>
          <w:numId w:val="11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-графии органов грудной клетки; </w:t>
      </w:r>
    </w:p>
    <w:p>
      <w:pPr>
        <w:numPr>
          <w:ilvl w:val="0"/>
          <w:numId w:val="12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рентгенологического исследования желудка;</w:t>
      </w:r>
    </w:p>
    <w:p>
      <w:pPr>
        <w:numPr>
          <w:ilvl w:val="0"/>
          <w:numId w:val="13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ЭКГ,   ЭхоКГ;</w:t>
      </w:r>
    </w:p>
    <w:p>
      <w:pPr>
        <w:numPr>
          <w:ilvl w:val="0"/>
          <w:numId w:val="14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бронхоскопии и бронхографии;</w:t>
      </w:r>
    </w:p>
    <w:p>
      <w:pPr>
        <w:numPr>
          <w:ilvl w:val="0"/>
          <w:numId w:val="15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ФГДС, ФКС, ФБС;</w:t>
      </w:r>
    </w:p>
    <w:p>
      <w:pPr>
        <w:numPr>
          <w:ilvl w:val="0"/>
          <w:numId w:val="16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>спирографии;</w:t>
      </w:r>
    </w:p>
    <w:p>
      <w:pPr>
        <w:numPr>
          <w:ilvl w:val="0"/>
          <w:numId w:val="17"/>
        </w:numPr>
        <w:tabs>
          <w:tab w:val="left" w:pos="435"/>
          <w:tab w:val="clear" w:pos="360"/>
        </w:tabs>
        <w:ind w:left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плевральной пункции. </w:t>
      </w:r>
    </w:p>
    <w:p>
      <w:pPr>
        <w:jc w:val="both"/>
        <w:rPr>
          <w:sz w:val="28"/>
          <w:szCs w:val="28"/>
        </w:rPr>
      </w:pPr>
    </w:p>
    <w:p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ВЫПОЛНЕНИЕ МАНИПУЛЯЦИЙ:</w:t>
      </w:r>
    </w:p>
    <w:p>
      <w:pPr>
        <w:ind w:firstLine="142"/>
        <w:jc w:val="both"/>
        <w:rPr>
          <w:sz w:val="28"/>
          <w:szCs w:val="28"/>
        </w:rPr>
      </w:pP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подкожные, внутримышечные, внутривенные инъекции лекарственных средств; </w:t>
      </w: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переливание компонентов крови;</w:t>
      </w: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системы для внутривенной инфузии и проведение внутривенного  вливания  жидкостей;</w:t>
      </w: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промывание желудка толстым зондом;</w:t>
      </w: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постановка очистительных, сифонных и лекарственных клизм;</w:t>
      </w: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пациента к рентгенологическому и ультразвуковому обследованию органов желудочно-кишечного тракта, мочевыводящей системы; к эндоскопическому исследованию желудочно-кишечного тракта и органов дыхания;</w:t>
      </w:r>
    </w:p>
    <w:p>
      <w:pPr>
        <w:numPr>
          <w:ilvl w:val="0"/>
          <w:numId w:val="18"/>
        </w:numPr>
        <w:tabs>
          <w:tab w:val="clear" w:pos="360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пальцевого исследования прямой кишки;</w:t>
      </w:r>
    </w:p>
    <w:p>
      <w:pPr>
        <w:numPr>
          <w:ilvl w:val="0"/>
          <w:numId w:val="18"/>
        </w:numPr>
        <w:tabs>
          <w:tab w:val="clear" w:pos="360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сахара крови  с помощью индикаторных полосок;</w:t>
      </w:r>
    </w:p>
    <w:p>
      <w:pPr>
        <w:numPr>
          <w:ilvl w:val="0"/>
          <w:numId w:val="18"/>
        </w:numPr>
        <w:tabs>
          <w:tab w:val="clear" w:pos="360"/>
        </w:tabs>
        <w:ind w:left="426" w:hanging="284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сатурации О</w:t>
      </w:r>
      <w:r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</w:rPr>
        <w:t>методом  пульсоксиметрии.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numPr>
          <w:ilvl w:val="0"/>
          <w:numId w:val="1"/>
        </w:num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НАЗНАЧЕНИЕ ЛЕЧЕБНЫХ МЕРОПРИЯТИЙ:</w:t>
      </w:r>
    </w:p>
    <w:p>
      <w:pPr>
        <w:jc w:val="both"/>
        <w:rPr>
          <w:sz w:val="28"/>
          <w:szCs w:val="28"/>
          <w:lang w:val="en-US"/>
        </w:rPr>
      </w:pP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рецептурные прописи лекарственных препаратов, применяемых в клинике внутренних болезней;</w:t>
      </w: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диетпитание;</w:t>
      </w: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на физиотерапевтические процедуры и ЛФК;</w:t>
      </w:r>
    </w:p>
    <w:p>
      <w:pPr>
        <w:numPr>
          <w:ilvl w:val="0"/>
          <w:numId w:val="18"/>
        </w:numPr>
        <w:tabs>
          <w:tab w:val="left" w:pos="502"/>
          <w:tab w:val="clear" w:pos="360"/>
        </w:tabs>
        <w:ind w:left="502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бесед на санитарно-просветительные темы с больными;</w:t>
      </w:r>
    </w:p>
    <w:p>
      <w:pPr>
        <w:jc w:val="both"/>
        <w:rPr>
          <w:sz w:val="28"/>
          <w:szCs w:val="28"/>
        </w:rPr>
      </w:pPr>
    </w:p>
    <w:p>
      <w:pPr>
        <w:numPr>
          <w:ilvl w:val="0"/>
          <w:numId w:val="1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ОКАЗАНИЕ НЕОТЛОЖНОЙ И ЭКСТРЕННОЙ ПОМОЩИ ПРИ СЛЕДУЮЩИХ СОСТОЯНИЯХ: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освоение реанимационных мероприятий при внезапной смерти больного (</w:t>
      </w:r>
      <w:r>
        <w:rPr>
          <w:sz w:val="28"/>
          <w:szCs w:val="28"/>
          <w:lang w:eastAsia="en-US"/>
        </w:rPr>
        <w:t>фиксация языка,</w:t>
      </w:r>
      <w:r>
        <w:rPr>
          <w:sz w:val="28"/>
          <w:szCs w:val="28"/>
        </w:rPr>
        <w:t xml:space="preserve"> выполнение непрямого массажа сердца, выполнение ИВЛ способом рот-в-рот, рот-в-нос, мешком Амбу);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анафилактический шок и другие острые аллергические реакции;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кардиогенный шок и шоки другого генеза </w:t>
      </w:r>
      <w:r>
        <w:rPr>
          <w:sz w:val="28"/>
          <w:szCs w:val="28"/>
          <w:lang w:eastAsia="en-US"/>
        </w:rPr>
        <w:t>(инфекционно-токсический,  геморрагический, аритмический)</w:t>
      </w:r>
      <w:r>
        <w:rPr>
          <w:sz w:val="28"/>
          <w:szCs w:val="28"/>
        </w:rPr>
        <w:t>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пароксизмальные нарушения ритма;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стенокардия и инфаркт миокарда;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сердечная астма;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острый кардиогенный и не кардиогенный (ОРДС) отек легких;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тромбоэмболия легочной артерии</w:t>
      </w:r>
      <w:r>
        <w:rPr>
          <w:sz w:val="28"/>
          <w:szCs w:val="28"/>
          <w:lang w:val="en-US" w:eastAsia="en-US"/>
        </w:rPr>
        <w:t>;</w:t>
      </w:r>
      <w:r>
        <w:rPr>
          <w:sz w:val="28"/>
          <w:szCs w:val="28"/>
          <w:lang w:eastAsia="en-US"/>
        </w:rPr>
        <w:t xml:space="preserve"> 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осложненный и не осложненный гипертонический криз;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гастродуоденальное и легочное кровотечения;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острая почечная и печеночная недостаточность;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бронхиальная астма (приступ, статус);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трансфузионные осложнения;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обморок, коллапс;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острая дыхательная недостаточность;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гипертермия, </w:t>
      </w:r>
      <w:r>
        <w:rPr>
          <w:sz w:val="28"/>
          <w:szCs w:val="28"/>
          <w:lang w:eastAsia="en-US"/>
        </w:rPr>
        <w:t>острая дегидратация</w:t>
      </w:r>
      <w:r>
        <w:rPr>
          <w:sz w:val="28"/>
          <w:szCs w:val="28"/>
        </w:rPr>
        <w:t>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НАВЫКИ ПО ЗАПОЛНЕНИЮ МЕДИЦИНСКОЙ ДОКУМЕНТАЦИИ:</w:t>
      </w:r>
    </w:p>
    <w:p>
      <w:pPr>
        <w:jc w:val="both"/>
        <w:rPr>
          <w:sz w:val="28"/>
          <w:szCs w:val="28"/>
        </w:rPr>
      </w:pPr>
    </w:p>
    <w:p>
      <w:pPr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оформление медицинской карты стационарного больного;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выписка и оформление рецептов, в том числе льготных, на наркотические и приравненные к ним препараты;</w:t>
      </w:r>
    </w:p>
    <w:p>
      <w:pPr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ведение типовой медицинской документации;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128270</wp:posOffset>
            </wp:positionV>
            <wp:extent cx="1485900" cy="558800"/>
            <wp:effectExtent l="0" t="0" r="0" b="0"/>
            <wp:wrapThrough wrapText="bothSides">
              <wp:wrapPolygon>
                <wp:start x="0" y="0"/>
                <wp:lineTo x="0" y="20618"/>
                <wp:lineTo x="21323" y="20618"/>
                <wp:lineTo x="21323" y="0"/>
                <wp:lineTo x="0" y="0"/>
              </wp:wrapPolygon>
            </wp:wrapThrough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Зав. кафедрой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факультетской терапии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профессор                                                           Мирсаева Г.Х. </w:t>
      </w:r>
    </w:p>
    <w:p>
      <w:pPr>
        <w:pStyle w:val="3"/>
        <w:spacing w:line="240" w:lineRule="auto"/>
        <w:jc w:val="left"/>
        <w:rPr>
          <w:szCs w:val="28"/>
        </w:rPr>
      </w:pPr>
      <w:r>
        <w:rPr>
          <w:szCs w:val="28"/>
        </w:rPr>
        <w:t>ФИО обучающегося   № группы _________________________________________________________________</w:t>
      </w:r>
    </w:p>
    <w:p>
      <w:pPr>
        <w:pStyle w:val="2"/>
        <w:ind w:firstLine="0"/>
        <w:rPr>
          <w:szCs w:val="28"/>
        </w:rPr>
      </w:pPr>
      <w:r>
        <w:rPr>
          <w:b w:val="0"/>
          <w:szCs w:val="28"/>
        </w:rPr>
        <w:t>ФИО больного</w:t>
      </w:r>
      <w:r>
        <w:rPr>
          <w:szCs w:val="28"/>
        </w:rPr>
        <w:t xml:space="preserve"> _________________________________________________________________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Диагноз _________________________________________________________________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План обследования ________________________________________________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pStyle w:val="4"/>
        <w:spacing w:line="240" w:lineRule="auto"/>
        <w:rPr>
          <w:szCs w:val="28"/>
        </w:rPr>
      </w:pPr>
      <w:r>
        <w:rPr>
          <w:szCs w:val="28"/>
        </w:rPr>
        <w:t xml:space="preserve">План лечения (написать рецепты)_____________________________________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pStyle w:val="4"/>
        <w:spacing w:line="240" w:lineRule="auto"/>
        <w:rPr>
          <w:szCs w:val="28"/>
        </w:rPr>
      </w:pPr>
      <w:r>
        <w:rPr>
          <w:szCs w:val="28"/>
        </w:rPr>
        <w:t>Неотложная помощь ___________________________________________________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Оценка __________________      Подпись экзаменатора ___________________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6"/>
        <w:tblW w:w="1006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6663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пп</w:t>
            </w:r>
          </w:p>
        </w:tc>
        <w:tc>
          <w:tcPr>
            <w:tcW w:w="6663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Разделы практических навыков</w:t>
            </w:r>
          </w:p>
        </w:tc>
        <w:tc>
          <w:tcPr>
            <w:tcW w:w="2835" w:type="dxa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66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Владение методикой обследования больных с патологией внутренних органов и оценка выявленных патологических изменений</w:t>
            </w:r>
          </w:p>
        </w:tc>
        <w:tc>
          <w:tcPr>
            <w:tcW w:w="2835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66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Формулировка предварительного диагноза по современным классификациям</w:t>
            </w:r>
          </w:p>
        </w:tc>
        <w:tc>
          <w:tcPr>
            <w:tcW w:w="2835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66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плана обследования для установления клинического диагноза</w:t>
            </w:r>
          </w:p>
        </w:tc>
        <w:tc>
          <w:tcPr>
            <w:tcW w:w="2835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66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данных лабораторных и инструментальных методов исследования</w:t>
            </w:r>
          </w:p>
        </w:tc>
        <w:tc>
          <w:tcPr>
            <w:tcW w:w="2835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66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Назначение лечебных и профилактических мероприятий (режим, диетпитание, рецептурные прописи лекарственных препаратов, физиотерапевтическое лечение, первичная и вторичная профилактика)</w:t>
            </w:r>
          </w:p>
        </w:tc>
        <w:tc>
          <w:tcPr>
            <w:tcW w:w="2835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66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экстренной помощи при неотложных состояниях</w:t>
            </w:r>
          </w:p>
        </w:tc>
        <w:tc>
          <w:tcPr>
            <w:tcW w:w="2835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66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медицинской карты стационарного больного</w:t>
            </w:r>
          </w:p>
        </w:tc>
        <w:tc>
          <w:tcPr>
            <w:tcW w:w="2835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30" w:type="dxa"/>
            <w:gridSpan w:val="2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оценка</w:t>
            </w:r>
          </w:p>
        </w:tc>
        <w:tc>
          <w:tcPr>
            <w:tcW w:w="2835" w:type="dxa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0F135F"/>
    <w:multiLevelType w:val="singleLevel"/>
    <w:tmpl w:val="030F135F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8682207"/>
    <w:multiLevelType w:val="singleLevel"/>
    <w:tmpl w:val="08682207"/>
    <w:lvl w:ilvl="0" w:tentative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hint="default"/>
        <w:sz w:val="24"/>
      </w:rPr>
    </w:lvl>
  </w:abstractNum>
  <w:abstractNum w:abstractNumId="2">
    <w:nsid w:val="09D4440D"/>
    <w:multiLevelType w:val="singleLevel"/>
    <w:tmpl w:val="09D4440D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3">
    <w:nsid w:val="0D343C5C"/>
    <w:multiLevelType w:val="singleLevel"/>
    <w:tmpl w:val="0D343C5C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4">
    <w:nsid w:val="15186EFB"/>
    <w:multiLevelType w:val="singleLevel"/>
    <w:tmpl w:val="15186EFB"/>
    <w:lvl w:ilvl="0" w:tentative="0">
      <w:start w:val="1"/>
      <w:numFmt w:val="bullet"/>
      <w:lvlText w:val="-"/>
      <w:lvlJc w:val="left"/>
      <w:pPr>
        <w:tabs>
          <w:tab w:val="left" w:pos="1494"/>
        </w:tabs>
        <w:ind w:left="1494" w:hanging="360"/>
      </w:pPr>
      <w:rPr>
        <w:rFonts w:hint="default"/>
      </w:rPr>
    </w:lvl>
  </w:abstractNum>
  <w:abstractNum w:abstractNumId="5">
    <w:nsid w:val="19504B5B"/>
    <w:multiLevelType w:val="singleLevel"/>
    <w:tmpl w:val="19504B5B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9FE5F3C"/>
    <w:multiLevelType w:val="singleLevel"/>
    <w:tmpl w:val="19FE5F3C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1F3E41F7"/>
    <w:multiLevelType w:val="singleLevel"/>
    <w:tmpl w:val="1F3E41F7"/>
    <w:lvl w:ilvl="0" w:tentative="0">
      <w:start w:val="1"/>
      <w:numFmt w:val="bullet"/>
      <w:lvlText w:val="-"/>
      <w:lvlJc w:val="left"/>
      <w:pPr>
        <w:tabs>
          <w:tab w:val="left" w:pos="1494"/>
        </w:tabs>
        <w:ind w:left="1494" w:hanging="360"/>
      </w:pPr>
      <w:rPr>
        <w:rFonts w:hint="default"/>
      </w:rPr>
    </w:lvl>
  </w:abstractNum>
  <w:abstractNum w:abstractNumId="8">
    <w:nsid w:val="26C92522"/>
    <w:multiLevelType w:val="singleLevel"/>
    <w:tmpl w:val="26C92522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9">
    <w:nsid w:val="33B71F0D"/>
    <w:multiLevelType w:val="singleLevel"/>
    <w:tmpl w:val="33B71F0D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39011928"/>
    <w:multiLevelType w:val="singleLevel"/>
    <w:tmpl w:val="39011928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1">
    <w:nsid w:val="4A207FDC"/>
    <w:multiLevelType w:val="singleLevel"/>
    <w:tmpl w:val="4A207FDC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2">
    <w:nsid w:val="4B471F8A"/>
    <w:multiLevelType w:val="singleLevel"/>
    <w:tmpl w:val="4B471F8A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3">
    <w:nsid w:val="511E3DDD"/>
    <w:multiLevelType w:val="singleLevel"/>
    <w:tmpl w:val="511E3DDD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4">
    <w:nsid w:val="58847C5D"/>
    <w:multiLevelType w:val="singleLevel"/>
    <w:tmpl w:val="58847C5D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5">
    <w:nsid w:val="59EC7C2E"/>
    <w:multiLevelType w:val="singleLevel"/>
    <w:tmpl w:val="59EC7C2E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6">
    <w:nsid w:val="5D3203A8"/>
    <w:multiLevelType w:val="singleLevel"/>
    <w:tmpl w:val="5D3203A8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7">
    <w:nsid w:val="68BA7BA0"/>
    <w:multiLevelType w:val="singleLevel"/>
    <w:tmpl w:val="68BA7BA0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8">
    <w:nsid w:val="6A225ED8"/>
    <w:multiLevelType w:val="singleLevel"/>
    <w:tmpl w:val="6A225ED8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9">
    <w:nsid w:val="747866EF"/>
    <w:multiLevelType w:val="singleLevel"/>
    <w:tmpl w:val="747866EF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4"/>
  </w:num>
  <w:num w:numId="5">
    <w:abstractNumId w:val="15"/>
  </w:num>
  <w:num w:numId="6">
    <w:abstractNumId w:val="11"/>
  </w:num>
  <w:num w:numId="7">
    <w:abstractNumId w:val="2"/>
  </w:num>
  <w:num w:numId="8">
    <w:abstractNumId w:val="14"/>
  </w:num>
  <w:num w:numId="9">
    <w:abstractNumId w:val="12"/>
  </w:num>
  <w:num w:numId="10">
    <w:abstractNumId w:val="6"/>
  </w:num>
  <w:num w:numId="11">
    <w:abstractNumId w:val="16"/>
  </w:num>
  <w:num w:numId="12">
    <w:abstractNumId w:val="19"/>
  </w:num>
  <w:num w:numId="13">
    <w:abstractNumId w:val="8"/>
  </w:num>
  <w:num w:numId="14">
    <w:abstractNumId w:val="10"/>
  </w:num>
  <w:num w:numId="15">
    <w:abstractNumId w:val="13"/>
  </w:num>
  <w:num w:numId="16">
    <w:abstractNumId w:val="3"/>
  </w:num>
  <w:num w:numId="17">
    <w:abstractNumId w:val="17"/>
  </w:num>
  <w:num w:numId="18">
    <w:abstractNumId w:val="1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795"/>
    <w:rsid w:val="00181119"/>
    <w:rsid w:val="002F12CA"/>
    <w:rsid w:val="003C71C2"/>
    <w:rsid w:val="003D7412"/>
    <w:rsid w:val="004E47CD"/>
    <w:rsid w:val="006434DF"/>
    <w:rsid w:val="0066084C"/>
    <w:rsid w:val="0081567E"/>
    <w:rsid w:val="008F4795"/>
    <w:rsid w:val="009B5BAE"/>
    <w:rsid w:val="00AF5483"/>
    <w:rsid w:val="00C9305C"/>
    <w:rsid w:val="00D60A30"/>
    <w:rsid w:val="3C192A57"/>
    <w:rsid w:val="7EA3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ja-JP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ind w:firstLine="851"/>
      <w:outlineLvl w:val="0"/>
    </w:pPr>
    <w:rPr>
      <w:b/>
      <w:sz w:val="28"/>
    </w:rPr>
  </w:style>
  <w:style w:type="paragraph" w:styleId="3">
    <w:name w:val="heading 5"/>
    <w:basedOn w:val="1"/>
    <w:next w:val="1"/>
    <w:link w:val="13"/>
    <w:qFormat/>
    <w:uiPriority w:val="0"/>
    <w:pPr>
      <w:keepNext/>
      <w:spacing w:line="360" w:lineRule="auto"/>
      <w:jc w:val="both"/>
      <w:outlineLvl w:val="4"/>
    </w:pPr>
    <w:rPr>
      <w:sz w:val="28"/>
    </w:rPr>
  </w:style>
  <w:style w:type="paragraph" w:styleId="4">
    <w:name w:val="heading 6"/>
    <w:basedOn w:val="1"/>
    <w:next w:val="1"/>
    <w:link w:val="14"/>
    <w:qFormat/>
    <w:uiPriority w:val="0"/>
    <w:pPr>
      <w:keepNext/>
      <w:spacing w:line="360" w:lineRule="auto"/>
      <w:outlineLvl w:val="5"/>
    </w:pPr>
    <w:rPr>
      <w:sz w:val="28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 Indent 3"/>
    <w:basedOn w:val="1"/>
    <w:link w:val="18"/>
    <w:uiPriority w:val="0"/>
    <w:pPr>
      <w:ind w:left="284" w:hanging="284"/>
      <w:jc w:val="both"/>
    </w:pPr>
    <w:rPr>
      <w:sz w:val="28"/>
    </w:rPr>
  </w:style>
  <w:style w:type="paragraph" w:styleId="8">
    <w:name w:val="Body Text Indent"/>
    <w:basedOn w:val="1"/>
    <w:link w:val="16"/>
    <w:qFormat/>
    <w:uiPriority w:val="0"/>
    <w:pPr>
      <w:ind w:firstLine="1134"/>
      <w:jc w:val="both"/>
    </w:pPr>
    <w:rPr>
      <w:sz w:val="28"/>
    </w:rPr>
  </w:style>
  <w:style w:type="paragraph" w:styleId="9">
    <w:name w:val="Title"/>
    <w:basedOn w:val="1"/>
    <w:link w:val="15"/>
    <w:qFormat/>
    <w:uiPriority w:val="0"/>
    <w:pPr>
      <w:jc w:val="center"/>
    </w:pPr>
    <w:rPr>
      <w:sz w:val="28"/>
    </w:rPr>
  </w:style>
  <w:style w:type="paragraph" w:styleId="10">
    <w:name w:val="Body Text Indent 2"/>
    <w:basedOn w:val="1"/>
    <w:link w:val="17"/>
    <w:uiPriority w:val="0"/>
    <w:pPr>
      <w:ind w:left="1418" w:hanging="284"/>
      <w:jc w:val="both"/>
    </w:pPr>
    <w:rPr>
      <w:sz w:val="28"/>
    </w:rPr>
  </w:style>
  <w:style w:type="paragraph" w:styleId="11">
    <w:name w:val="Subtitle"/>
    <w:basedOn w:val="1"/>
    <w:link w:val="20"/>
    <w:qFormat/>
    <w:uiPriority w:val="0"/>
    <w:pPr>
      <w:jc w:val="center"/>
    </w:pPr>
    <w:rPr>
      <w:rFonts w:ascii="Arial" w:hAnsi="Arial"/>
      <w:b/>
      <w:sz w:val="24"/>
      <w:lang w:val="zh-CN" w:eastAsia="zh-CN"/>
    </w:rPr>
  </w:style>
  <w:style w:type="character" w:customStyle="1" w:styleId="12">
    <w:name w:val="Заголовок 1 Знак"/>
    <w:basedOn w:val="5"/>
    <w:link w:val="2"/>
    <w:qFormat/>
    <w:uiPriority w:val="0"/>
    <w:rPr>
      <w:rFonts w:ascii="Times New Roman" w:hAnsi="Times New Roman" w:eastAsia="Times New Roman" w:cs="Times New Roman"/>
      <w:b/>
      <w:sz w:val="28"/>
      <w:szCs w:val="20"/>
      <w:lang w:eastAsia="ja-JP"/>
    </w:rPr>
  </w:style>
  <w:style w:type="character" w:customStyle="1" w:styleId="13">
    <w:name w:val="Заголовок 5 Знак"/>
    <w:basedOn w:val="5"/>
    <w:link w:val="3"/>
    <w:qFormat/>
    <w:uiPriority w:val="0"/>
    <w:rPr>
      <w:rFonts w:ascii="Times New Roman" w:hAnsi="Times New Roman" w:eastAsia="Times New Roman" w:cs="Times New Roman"/>
      <w:sz w:val="28"/>
      <w:szCs w:val="20"/>
      <w:lang w:eastAsia="ja-JP"/>
    </w:rPr>
  </w:style>
  <w:style w:type="character" w:customStyle="1" w:styleId="14">
    <w:name w:val="Заголовок 6 Знак"/>
    <w:basedOn w:val="5"/>
    <w:link w:val="4"/>
    <w:qFormat/>
    <w:uiPriority w:val="0"/>
    <w:rPr>
      <w:rFonts w:ascii="Times New Roman" w:hAnsi="Times New Roman" w:eastAsia="Times New Roman" w:cs="Times New Roman"/>
      <w:sz w:val="28"/>
      <w:szCs w:val="20"/>
      <w:lang w:eastAsia="ja-JP"/>
    </w:rPr>
  </w:style>
  <w:style w:type="character" w:customStyle="1" w:styleId="15">
    <w:name w:val="Название Знак"/>
    <w:basedOn w:val="5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ja-JP"/>
    </w:rPr>
  </w:style>
  <w:style w:type="character" w:customStyle="1" w:styleId="16">
    <w:name w:val="Основной текст с отступом Знак"/>
    <w:basedOn w:val="5"/>
    <w:link w:val="8"/>
    <w:qFormat/>
    <w:uiPriority w:val="0"/>
    <w:rPr>
      <w:rFonts w:ascii="Times New Roman" w:hAnsi="Times New Roman" w:eastAsia="Times New Roman" w:cs="Times New Roman"/>
      <w:sz w:val="28"/>
      <w:szCs w:val="20"/>
      <w:lang w:eastAsia="ja-JP"/>
    </w:rPr>
  </w:style>
  <w:style w:type="character" w:customStyle="1" w:styleId="17">
    <w:name w:val="Основной текст с отступом 2 Знак"/>
    <w:basedOn w:val="5"/>
    <w:link w:val="10"/>
    <w:qFormat/>
    <w:uiPriority w:val="0"/>
    <w:rPr>
      <w:rFonts w:ascii="Times New Roman" w:hAnsi="Times New Roman" w:eastAsia="Times New Roman" w:cs="Times New Roman"/>
      <w:sz w:val="28"/>
      <w:szCs w:val="20"/>
      <w:lang w:eastAsia="ja-JP"/>
    </w:rPr>
  </w:style>
  <w:style w:type="character" w:customStyle="1" w:styleId="18">
    <w:name w:val="Основной текст с отступом 3 Знак"/>
    <w:basedOn w:val="5"/>
    <w:link w:val="7"/>
    <w:uiPriority w:val="0"/>
    <w:rPr>
      <w:rFonts w:ascii="Times New Roman" w:hAnsi="Times New Roman" w:eastAsia="Times New Roman" w:cs="Times New Roman"/>
      <w:sz w:val="28"/>
      <w:szCs w:val="20"/>
      <w:lang w:eastAsia="ja-JP"/>
    </w:rPr>
  </w:style>
  <w:style w:type="paragraph" w:customStyle="1" w:styleId="19">
    <w:name w:val="Обычный1"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sz w:val="20"/>
      <w:szCs w:val="20"/>
      <w:lang w:val="ru-RU" w:eastAsia="ru-RU" w:bidi="ar-SA"/>
    </w:rPr>
  </w:style>
  <w:style w:type="character" w:customStyle="1" w:styleId="20">
    <w:name w:val="Подзаголовок Знак"/>
    <w:basedOn w:val="5"/>
    <w:link w:val="11"/>
    <w:uiPriority w:val="0"/>
    <w:rPr>
      <w:rFonts w:ascii="Arial" w:hAnsi="Arial" w:eastAsia="Times New Roman" w:cs="Times New Roman"/>
      <w:b/>
      <w:sz w:val="24"/>
      <w:szCs w:val="20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984</Words>
  <Characters>5610</Characters>
  <Lines>46</Lines>
  <Paragraphs>13</Paragraphs>
  <TotalTime>25</TotalTime>
  <ScaleCrop>false</ScaleCrop>
  <LinksUpToDate>false</LinksUpToDate>
  <CharactersWithSpaces>6581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2017-09-13T04:41:00Z</dcterms:created>
  <dc:creator>Кафедра</dc:creator>
  <cp:lastModifiedBy>fermo</cp:lastModifiedBy>
  <dcterms:modified xsi:type="dcterms:W3CDTF">2022-09-21T08:01:23Z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609FDD4039EB46C0ABA27882EFD4BFC7</vt:lpwstr>
  </property>
</Properties>
</file>